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40" w:firstLineChars="400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研究生奖助学金评审基本条件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简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表</w:t>
      </w:r>
    </w:p>
    <w:tbl>
      <w:tblPr>
        <w:tblStyle w:val="6"/>
        <w:tblW w:w="20352" w:type="dxa"/>
        <w:tblInd w:w="-3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831"/>
        <w:gridCol w:w="4395"/>
        <w:gridCol w:w="2268"/>
        <w:gridCol w:w="1971"/>
        <w:gridCol w:w="2256"/>
        <w:gridCol w:w="2256"/>
        <w:gridCol w:w="2256"/>
        <w:gridCol w:w="2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995" w:type="dxa"/>
          <w:trHeight w:val="686" w:hRule="atLeast"/>
          <w:tblHeader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项 目</w:t>
            </w:r>
          </w:p>
        </w:tc>
        <w:tc>
          <w:tcPr>
            <w:tcW w:w="1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学习年限资格</w:t>
            </w:r>
          </w:p>
        </w:tc>
        <w:tc>
          <w:tcPr>
            <w:tcW w:w="4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学校综合条件要求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995" w:type="dxa"/>
          <w:trHeight w:val="4080" w:hRule="atLeast"/>
        </w:trPr>
        <w:tc>
          <w:tcPr>
            <w:tcW w:w="8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研究生国家奖学金</w:t>
            </w:r>
          </w:p>
        </w:tc>
        <w:tc>
          <w:tcPr>
            <w:tcW w:w="183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新生和在校生均可参评</w:t>
            </w:r>
            <w:r>
              <w:rPr>
                <w:rFonts w:hint="eastAsia" w:ascii="仿宋_GB2312" w:hAnsi="宋体" w:cs="宋体"/>
                <w:color w:val="000000" w:themeColor="text1"/>
                <w:kern w:val="0"/>
                <w:sz w:val="22"/>
                <w:szCs w:val="22"/>
              </w:rPr>
              <w:t>（当年毕业的学生不再具备申请资格）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。</w:t>
            </w:r>
          </w:p>
          <w:p>
            <w:pPr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  <w:t>一、研究生</w:t>
            </w: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成绩优异、</w:t>
            </w:r>
            <w:r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  <w:t>表现优异，综合发展积分位列前茅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instrText xml:space="preserve">= 1 \* GB3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①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积分办法详见《川北医学院研究生综合发展积分管理办法》，同一项目就高积分，不能重复计算，不能拆分为多个子项目计算；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instrText xml:space="preserve">= 2 \* GB3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②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积分计算周期为“上一年度评定截至日期”到“下一年度发布通知日期”；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instrText xml:space="preserve">= 3 \* GB3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③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t>年度综合发展积分评定结果原则上应达良好及以上等级，即年度总积分达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75分及以上且思政、社会工作与志愿服务、文体活动三项积分之和不少于10分）；</w:t>
            </w: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二、符合《川北医学院研究生奖助学金管理暂行办法》（川北医发〔2021〕90号）申请条件和资格。</w:t>
            </w:r>
          </w:p>
          <w:p>
            <w:pPr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参评学年具有以下情形之一的研究生不具备申请资格：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1.违反国家法律法规、校纪校规受到处理者；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2.有抄袭剽窃、弄虚作假等学术不端行为经查证属实者；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3.学籍状态处于休学、保留学籍者。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（二）具有以下情形之一的研究生原则上不具备申请资格：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1.超出基本修业年限者；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2.基本修业年限内因私出国留学、疾病、创业等原因未在校学习者（因国家和单位公派出国留学或校际交流在境外学习的研究生除外）</w:t>
            </w:r>
            <w:r>
              <w:rPr>
                <w:rFonts w:hint="eastAsia" w:ascii="仿宋_GB2312" w:hAnsi="宋体" w:cs="宋体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995" w:type="dxa"/>
          <w:trHeight w:val="2825" w:hRule="atLeast"/>
        </w:trPr>
        <w:tc>
          <w:tcPr>
            <w:tcW w:w="8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研究生学业奖学金</w:t>
            </w:r>
          </w:p>
        </w:tc>
        <w:tc>
          <w:tcPr>
            <w:tcW w:w="183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995" w:type="dxa"/>
          <w:trHeight w:val="1985" w:hRule="atLeast"/>
        </w:trPr>
        <w:tc>
          <w:tcPr>
            <w:tcW w:w="86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研究生国家助学金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新生和在校生均可享受。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无固定工资收入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（有工作单位或与单位有定向协议但无固定收入者，须提供单位或定向单位出具的无固定收入证明盖章签字原件）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宋体" w:cs="宋体"/>
                <w:color w:val="000000"/>
                <w:kern w:val="0"/>
                <w:sz w:val="18"/>
                <w:szCs w:val="18"/>
              </w:rPr>
              <w:t>重点关注和掌握“研究生缴纳社会保险、缴存住房公积金、 工商登记注册”等实际情况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ind w:right="1187" w:rightChars="371"/>
        <w:rPr>
          <w:rFonts w:ascii="华文仿宋" w:hAnsi="华文仿宋" w:eastAsia="华文仿宋" w:cs="华文仿宋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1701" w:footer="1588" w:gutter="0"/>
          <w:cols w:space="720" w:num="1"/>
          <w:docGrid w:linePitch="312" w:charSpace="0"/>
        </w:sectPr>
      </w:pPr>
    </w:p>
    <w:tbl>
      <w:tblPr>
        <w:tblStyle w:val="6"/>
        <w:tblpPr w:leftFromText="180" w:rightFromText="180" w:vertAnchor="text" w:horzAnchor="margin" w:tblpXSpec="center" w:tblpY="108"/>
        <w:tblW w:w="903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843"/>
        <w:gridCol w:w="3827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tblHeader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项 目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学习年限资格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学校综合条件要求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校长奖学金（综合奖）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在我校接受研究生教育培养须达1年及以上时间，新生不参评。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  <w:t>一、研究生</w:t>
            </w: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在校</w:t>
            </w:r>
            <w:r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  <w:t>表现优异，综合发展积分位列前茅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instrText xml:space="preserve">= 1 \* GB3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①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积分办法详见《川北医学院研究生综合发展积分管理办法》，同一项目就高积分，不能重复计算，不能拆分为多个子项目计算；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instrText xml:space="preserve">= 2 \* GB3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②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积分计算周期为“上一年度评定截至日期”到“下一年度发布通知日期”；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instrText xml:space="preserve">= 3 \* GB3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③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t>年度综合发展积分评定结果原则上应达良好及以上等级，即年度总积分达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75分及以上且思政、社会工作与志愿服务、文体活动三项积分之和不少于10分）；</w:t>
            </w: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二、符合《川北医学院研究生奖助学金管理暂行办法》（川北医发〔2021〕90号）申请条件和资格。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（一）参评学年具有以下情形之一的研究生不具备申请资格：</w:t>
            </w: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1.违反国家法律法规、校纪校规受到处理者；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2.有抄袭剽窃、弄虚作假等学术不端行为经查证属实者；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3.学籍状态处于休学、保留学籍者。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（二）具有以下情形之一的研究生原则上不具备申请资格：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1.超出基本修业年限或参评学年在校接受研究生教育培养不满1年者；</w:t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宋体"/>
                <w:color w:val="000000"/>
                <w:kern w:val="0"/>
                <w:sz w:val="18"/>
                <w:szCs w:val="18"/>
              </w:rPr>
              <w:t>2.基本修业年限内因私出国留学、疾病、创业等原因未在校学习者（因国家和单位公派出国留学或校际交流在境外学习的研究生除外）</w:t>
            </w:r>
            <w:r>
              <w:rPr>
                <w:rFonts w:hint="eastAsia" w:ascii="仿宋_GB2312" w:hAnsi="宋体" w:cs="宋体"/>
                <w:color w:val="000000"/>
                <w:kern w:val="0"/>
                <w:sz w:val="20"/>
                <w:szCs w:val="20"/>
              </w:rPr>
              <w:t>；</w:t>
            </w: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0"/>
                <w:szCs w:val="20"/>
              </w:rPr>
              <w:t>3.参评学年无故拖欠学校学杂费、住宿费者。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4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校长奖学金（单项奖）</w:t>
            </w: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一、</w:t>
            </w:r>
            <w:r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  <w:t>年度综合发展积分评定结果原则上应达良好及以上等级</w:t>
            </w:r>
            <w:r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  <w:t>。即年度总积分达</w:t>
            </w:r>
            <w:r>
              <w:rPr>
                <w:rFonts w:hint="eastAsia" w:ascii="仿宋_GB2312" w:hAnsi="宋体" w:cs="宋体"/>
                <w:color w:val="000000"/>
                <w:kern w:val="0"/>
                <w:sz w:val="22"/>
                <w:szCs w:val="22"/>
              </w:rPr>
              <w:t>75分及以上且思政、社会工作与志愿服务、文体活动三项积分之和不少于10分）；</w:t>
            </w:r>
          </w:p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cs="宋体"/>
                <w:b/>
                <w:color w:val="000000"/>
                <w:kern w:val="0"/>
                <w:sz w:val="22"/>
                <w:szCs w:val="22"/>
              </w:rPr>
              <w:t>二、符合《川北医学院研究生奖助学金管理暂行办法》（川北医发〔2021〕90号）申请条件和资格。</w:t>
            </w:r>
          </w:p>
          <w:p>
            <w:pPr>
              <w:widowControl/>
              <w:jc w:val="left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  <w:t>三、已申报校长奖学金（单项奖）的项目，不再纳入校长奖学金（综合奖）计算积分。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tabs>
          <w:tab w:val="left" w:pos="8960"/>
        </w:tabs>
        <w:ind w:right="202" w:rightChars="63" w:firstLine="440" w:firstLineChars="200"/>
        <w:jc w:val="both"/>
        <w:rPr>
          <w:rFonts w:hint="eastAsia" w:ascii="方正公文小标宋" w:hAnsi="方正公文小标宋" w:eastAsia="方正公文小标宋" w:cs="方正公文小标宋"/>
          <w:color w:val="FF0000"/>
          <w:sz w:val="16"/>
          <w:szCs w:val="16"/>
        </w:rPr>
      </w:pPr>
      <w:r>
        <w:rPr>
          <w:rFonts w:hint="eastAsia" w:ascii="方正公文小标宋" w:hAnsi="方正公文小标宋" w:eastAsia="方正公文小标宋" w:cs="方正公文小标宋"/>
          <w:color w:val="FF0000"/>
          <w:sz w:val="22"/>
          <w:szCs w:val="28"/>
          <w:lang w:val="en-US" w:eastAsia="zh-CN"/>
        </w:rPr>
        <w:t>注：申请奖助学金的支撑材料，只确认2023年9月30日前见刊出证的，参加《</w:t>
      </w:r>
      <w:r>
        <w:rPr>
          <w:rFonts w:hint="eastAsia" w:ascii="方正公文小标宋" w:hAnsi="方正公文小标宋" w:eastAsia="方正公文小标宋" w:cs="方正公文小标宋"/>
          <w:color w:val="FF0000"/>
          <w:sz w:val="22"/>
          <w:szCs w:val="22"/>
          <w:lang w:val="en-US" w:eastAsia="zh-CN"/>
        </w:rPr>
        <w:t>全国普通高校大学生竞赛目录》内项目，获得校级以上奖项(含本级)可凭主办方官网公示的获奖名单为证，但尚在公示期的或主办方明确撤销的不予确认。</w:t>
      </w:r>
    </w:p>
    <w:sectPr>
      <w:pgSz w:w="11906" w:h="16838"/>
      <w:pgMar w:top="2098" w:right="1474" w:bottom="1985" w:left="1588" w:header="1701" w:footer="1588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9DD8F78-11C0-44FB-AD9A-140DB52C388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BA9B6CB2-5E08-4A2E-85D6-52BE506AB00F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F1D73AA-19BD-4564-87A6-EDE5B5517F3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A645C938-D677-480A-AC56-C6AEBABB8142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3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CFA4A"/>
    <w:multiLevelType w:val="singleLevel"/>
    <w:tmpl w:val="4F4CFA4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mZlMzU1NzE0OWI3OWE3NTIyNGZjZjI2ZTdiMzAwOGMifQ=="/>
    <w:docVar w:name="KGWebUrl" w:val="http://202.61.88.179:80/seeyon/officeservlet"/>
  </w:docVars>
  <w:rsids>
    <w:rsidRoot w:val="007C5633"/>
    <w:rsid w:val="00110669"/>
    <w:rsid w:val="00112420"/>
    <w:rsid w:val="001A08F9"/>
    <w:rsid w:val="001B42BA"/>
    <w:rsid w:val="00212EC2"/>
    <w:rsid w:val="002506EA"/>
    <w:rsid w:val="002667CC"/>
    <w:rsid w:val="00297E86"/>
    <w:rsid w:val="002E7219"/>
    <w:rsid w:val="00300554"/>
    <w:rsid w:val="00380088"/>
    <w:rsid w:val="003A34ED"/>
    <w:rsid w:val="003C7A4C"/>
    <w:rsid w:val="003C7F8F"/>
    <w:rsid w:val="003F1922"/>
    <w:rsid w:val="004063A1"/>
    <w:rsid w:val="00426B51"/>
    <w:rsid w:val="00433273"/>
    <w:rsid w:val="00433B69"/>
    <w:rsid w:val="00463734"/>
    <w:rsid w:val="00477113"/>
    <w:rsid w:val="0049411B"/>
    <w:rsid w:val="004B3681"/>
    <w:rsid w:val="004F0B03"/>
    <w:rsid w:val="004F1D33"/>
    <w:rsid w:val="00505521"/>
    <w:rsid w:val="00507BD2"/>
    <w:rsid w:val="00511CC2"/>
    <w:rsid w:val="005320A0"/>
    <w:rsid w:val="005522DF"/>
    <w:rsid w:val="00587138"/>
    <w:rsid w:val="0058769E"/>
    <w:rsid w:val="00597C14"/>
    <w:rsid w:val="00603431"/>
    <w:rsid w:val="0060470E"/>
    <w:rsid w:val="00633953"/>
    <w:rsid w:val="00645A63"/>
    <w:rsid w:val="006626AB"/>
    <w:rsid w:val="00683912"/>
    <w:rsid w:val="0068557D"/>
    <w:rsid w:val="006E4E37"/>
    <w:rsid w:val="007662BF"/>
    <w:rsid w:val="007851A4"/>
    <w:rsid w:val="00794B2C"/>
    <w:rsid w:val="007B7931"/>
    <w:rsid w:val="007C5633"/>
    <w:rsid w:val="008232E7"/>
    <w:rsid w:val="0084033C"/>
    <w:rsid w:val="00850378"/>
    <w:rsid w:val="00866B9C"/>
    <w:rsid w:val="00885415"/>
    <w:rsid w:val="008E50FB"/>
    <w:rsid w:val="00926817"/>
    <w:rsid w:val="00941EE0"/>
    <w:rsid w:val="00952CCA"/>
    <w:rsid w:val="00977855"/>
    <w:rsid w:val="00980480"/>
    <w:rsid w:val="009967C5"/>
    <w:rsid w:val="009B7903"/>
    <w:rsid w:val="009E02A3"/>
    <w:rsid w:val="00A10767"/>
    <w:rsid w:val="00A34E9B"/>
    <w:rsid w:val="00A60BE7"/>
    <w:rsid w:val="00B06826"/>
    <w:rsid w:val="00B26EDA"/>
    <w:rsid w:val="00B71295"/>
    <w:rsid w:val="00B86F4C"/>
    <w:rsid w:val="00BC52F0"/>
    <w:rsid w:val="00BD1B96"/>
    <w:rsid w:val="00BE68C1"/>
    <w:rsid w:val="00BE6949"/>
    <w:rsid w:val="00BF6AB9"/>
    <w:rsid w:val="00CD476F"/>
    <w:rsid w:val="00CF2C94"/>
    <w:rsid w:val="00D02336"/>
    <w:rsid w:val="00D6328E"/>
    <w:rsid w:val="00DA1C26"/>
    <w:rsid w:val="00DA44E9"/>
    <w:rsid w:val="00DA4F6D"/>
    <w:rsid w:val="00DA6521"/>
    <w:rsid w:val="00E3588B"/>
    <w:rsid w:val="00E43ED2"/>
    <w:rsid w:val="00E65288"/>
    <w:rsid w:val="00E66AC6"/>
    <w:rsid w:val="00E93428"/>
    <w:rsid w:val="00E961F6"/>
    <w:rsid w:val="00EB1541"/>
    <w:rsid w:val="00F11EE5"/>
    <w:rsid w:val="00F514B6"/>
    <w:rsid w:val="00F67A52"/>
    <w:rsid w:val="00FC2A0F"/>
    <w:rsid w:val="00FC7827"/>
    <w:rsid w:val="236E0751"/>
    <w:rsid w:val="5D1D4900"/>
    <w:rsid w:val="6C28731D"/>
    <w:rsid w:val="7FEF017B"/>
    <w:rsid w:val="FF9F5C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unhideWhenUsed/>
    <w:qFormat/>
    <w:uiPriority w:val="99"/>
  </w:style>
  <w:style w:type="character" w:customStyle="1" w:styleId="10">
    <w:name w:val="日期 Char"/>
    <w:link w:val="2"/>
    <w:semiHidden/>
    <w:uiPriority w:val="99"/>
    <w:rPr>
      <w:kern w:val="2"/>
      <w:sz w:val="32"/>
      <w:szCs w:val="22"/>
    </w:rPr>
  </w:style>
  <w:style w:type="character" w:customStyle="1" w:styleId="11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j\Desktop\Doc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Pages>2</Pages>
  <Words>225</Words>
  <Characters>1285</Characters>
  <Lines>10</Lines>
  <Paragraphs>3</Paragraphs>
  <TotalTime>9</TotalTime>
  <ScaleCrop>false</ScaleCrop>
  <LinksUpToDate>false</LinksUpToDate>
  <CharactersWithSpaces>1507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2021-09-29T09:33:00Z</dcterms:created>
  <dc:creator>攀枝花学院单位管理员</dc:creator>
  <cp:lastModifiedBy>桓瑀</cp:lastModifiedBy>
  <dcterms:modified xsi:type="dcterms:W3CDTF">2023-10-06T15:11:42Z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301AC7A8CB934F0D87E6410DA7236866_12</vt:lpwstr>
  </property>
</Properties>
</file>